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59" w:lineRule="auto"/>
      </w:pPr>
      <w:r>
        <w:rPr>
          <w:rFonts w:ascii="Arial" w:hAnsi="Arial" w:eastAsia="Arial"/>
          <w:b/>
          <w:i w:val="0"/>
          <w:color w:val="17365D"/>
          <w:sz w:val="43"/>
        </w:rPr>
        <w:t>IT’S NOT ABOUT AI</w:t>
      </w:r>
    </w:p>
    <w:p>
      <w:pPr>
        <w:spacing w:after="131" w:line="259" w:lineRule="auto"/>
      </w:pPr>
      <w:r>
        <w:rPr>
          <w:rFonts w:ascii="Arial" w:hAnsi="Arial" w:eastAsia="Arial"/>
          <w:b/>
          <w:i w:val="0"/>
          <w:color w:val="008D9D"/>
          <w:sz w:val="26"/>
        </w:rPr>
        <w:t>It’s about who decides, what can be taken away, and who is responsible.</w:t>
      </w:r>
    </w:p>
    <w:p>
      <w:pPr>
        <w:spacing w:after="219" w:line="259" w:lineRule="auto"/>
      </w:pPr>
      <w:r>
        <w:rPr>
          <w:rFonts w:ascii="Arial" w:hAnsi="Arial" w:eastAsia="Arial"/>
          <w:b w:val="0"/>
          <w:i/>
          <w:color w:val="4E5D6C"/>
          <w:sz w:val="22"/>
        </w:rPr>
        <w:t>What six rounds of message testing mean for movement organisations</w:t>
      </w:r>
    </w:p>
    <w:p>
      <w:pPr>
        <w:spacing w:after="219" w:line="259" w:lineRule="auto"/>
      </w:pPr>
      <w:r>
        <w:rPr>
          <w:rFonts w:ascii="Arial" w:hAnsi="Arial" w:eastAsia="Arial"/>
          <w:b w:val="0"/>
          <w:i w:val="0"/>
          <w:color w:val="4E5D6C"/>
          <w:sz w:val="20"/>
        </w:rPr>
        <w:t xml:space="preserve">The clearest finding from our research is simple: </w:t>
      </w:r>
      <w:r>
        <w:rPr>
          <w:rFonts w:ascii="Arial" w:hAnsi="Arial" w:eastAsia="Arial"/>
          <w:b/>
          <w:i w:val="0"/>
          <w:color w:val="17365D"/>
          <w:sz w:val="20"/>
        </w:rPr>
        <w:t>people respond most strongly when AI is connected to a concrete decision that affects their life.</w:t>
      </w:r>
      <w:r>
        <w:rPr>
          <w:rFonts w:ascii="Arial" w:hAnsi="Arial" w:eastAsia="Arial"/>
          <w:b w:val="0"/>
          <w:i w:val="0"/>
          <w:color w:val="4E5D6C"/>
          <w:sz w:val="20"/>
        </w:rPr>
        <w:t xml:space="preserve"> Health care denied. Benefits cut off. A job rejected. Rent raised. A worker monitored. A person unable to reach a human being. </w:t>
      </w:r>
      <w:r>
        <w:rPr>
          <w:rFonts w:ascii="Arial" w:hAnsi="Arial" w:eastAsia="Arial"/>
          <w:b/>
          <w:i w:val="0"/>
          <w:color w:val="17365D"/>
          <w:sz w:val="20"/>
        </w:rPr>
        <w:t>The technology matters. But the harm, the decision-maker and the consequence matter more.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69"/>
        <w:gridCol w:w="5069"/>
      </w:tblGrid>
      <w:tr>
        <w:tc>
          <w:tcPr>
            <w:tcW w:type="dxa" w:w="5263"/>
            <w:tcMar>
              <w:top w:w="110" w:type="dxa"/>
              <w:start w:w="90" w:type="dxa"/>
              <w:bottom w:w="110" w:type="dxa"/>
              <w:end w:w="90" w:type="dxa"/>
            </w:tcMar>
            <w:vAlign w:val="top"/>
          </w:tcPr>
          <w:p>
            <w:pPr>
              <w:spacing w:after="0" w:line="259" w:lineRule="auto"/>
            </w:pPr>
          </w:p>
          <w:p>
            <w:pPr>
              <w:spacing w:before="0" w:after="79" w:line="259" w:lineRule="auto"/>
            </w:pPr>
            <w:r>
              <w:rPr>
                <w:rFonts w:ascii="Arial" w:hAnsi="Arial" w:eastAsia="Arial"/>
                <w:b/>
                <w:i w:val="0"/>
                <w:color w:val="17365D"/>
                <w:sz w:val="26"/>
              </w:rPr>
              <w:t>FIVE THINGS TO REMEMBER</w:t>
            </w:r>
          </w:p>
          <w:p>
            <w:pPr>
              <w:spacing w:before="31" w:after="79" w:line="259" w:lineRule="auto"/>
            </w:pPr>
            <w:r>
              <w:rPr>
                <w:rFonts w:ascii="Arial" w:hAnsi="Arial" w:eastAsia="Arial"/>
                <w:b/>
                <w:i w:val="0"/>
                <w:color w:val="008D9D"/>
                <w:sz w:val="22"/>
              </w:rPr>
              <w:t>1. Lead with the harm — not the technology.</w:t>
            </w:r>
          </w:p>
          <w:p>
            <w:pPr>
              <w:spacing w:before="0" w:after="47" w:line="259" w:lineRule="auto"/>
            </w:pPr>
            <w:r>
              <w:rPr>
                <w:rFonts w:ascii="Arial" w:hAnsi="Arial" w:eastAsia="Arial"/>
                <w:b w:val="0"/>
                <w:i w:val="0"/>
                <w:color w:val="4E5D6C"/>
                <w:sz w:val="19"/>
              </w:rPr>
              <w:t>Don’t make people decode the issue before they can care about it.</w:t>
            </w:r>
          </w:p>
          <w:p>
            <w:pPr>
              <w:spacing w:after="35" w:line="259" w:lineRule="auto"/>
            </w:pPr>
            <w:r>
              <w:rPr>
                <w:rFonts w:ascii="Arial" w:hAnsi="Arial" w:eastAsia="Arial"/>
                <w:b/>
                <w:i w:val="0"/>
                <w:color w:val="17365D"/>
                <w:sz w:val="19"/>
              </w:rPr>
              <w:t xml:space="preserve">Instead of: </w:t>
            </w:r>
            <w:r>
              <w:rPr>
                <w:rFonts w:ascii="Arial" w:hAnsi="Arial" w:eastAsia="Arial"/>
                <w:b w:val="0"/>
                <w:i w:val="0"/>
                <w:color w:val="4E5D6C"/>
                <w:sz w:val="19"/>
              </w:rPr>
              <w:t>“AI can create problems in health care.”</w:t>
            </w:r>
          </w:p>
          <w:p>
            <w:pPr>
              <w:spacing w:after="91" w:line="259" w:lineRule="auto"/>
            </w:pPr>
            <w:r>
              <w:rPr>
                <w:rFonts w:ascii="Arial" w:hAnsi="Arial" w:eastAsia="Arial"/>
                <w:b/>
                <w:i w:val="0"/>
                <w:color w:val="17365D"/>
                <w:sz w:val="19"/>
              </w:rPr>
              <w:t xml:space="preserve">Try: </w:t>
            </w:r>
            <w:r>
              <w:rPr>
                <w:rFonts w:ascii="Arial" w:hAnsi="Arial" w:eastAsia="Arial"/>
                <w:b w:val="0"/>
                <w:i w:val="0"/>
                <w:color w:val="4E5D6C"/>
                <w:sz w:val="19"/>
              </w:rPr>
              <w:t>“Your doctor says you need treatment. Your insurer’s automated system says no.”</w:t>
            </w:r>
          </w:p>
          <w:p>
            <w:pPr>
              <w:spacing w:before="31" w:after="79" w:line="259" w:lineRule="auto"/>
            </w:pPr>
            <w:r>
              <w:rPr>
                <w:rFonts w:ascii="Arial" w:hAnsi="Arial" w:eastAsia="Arial"/>
                <w:b/>
                <w:i w:val="0"/>
                <w:color w:val="008D9D"/>
                <w:sz w:val="22"/>
              </w:rPr>
              <w:t>2. Name who chose to use the system.</w:t>
            </w:r>
          </w:p>
          <w:p>
            <w:pPr>
              <w:spacing w:before="0" w:after="87" w:line="259" w:lineRule="auto"/>
            </w:pPr>
            <w:r>
              <w:rPr>
                <w:rFonts w:ascii="Arial" w:hAnsi="Arial" w:eastAsia="Arial"/>
                <w:b w:val="0"/>
                <w:i w:val="0"/>
                <w:color w:val="4E5D6C"/>
                <w:sz w:val="19"/>
              </w:rPr>
              <w:t>Do not let “AI” become the actor. Say the insurer, the employer, the landlord, the contractor, or the agency. Someone chose to buy, build, use or rely on the system. Keep responsibility visible.</w:t>
            </w:r>
          </w:p>
          <w:p>
            <w:pPr>
              <w:spacing w:before="31" w:after="79" w:line="259" w:lineRule="auto"/>
            </w:pPr>
            <w:r>
              <w:rPr>
                <w:rFonts w:ascii="Arial" w:hAnsi="Arial" w:eastAsia="Arial"/>
                <w:b/>
                <w:i w:val="0"/>
                <w:color w:val="008D9D"/>
                <w:sz w:val="22"/>
              </w:rPr>
              <w:t>3. Make the consequence easy to picture.</w:t>
            </w:r>
          </w:p>
          <w:p>
            <w:pPr>
              <w:spacing w:before="0" w:after="44" w:line="259" w:lineRule="auto"/>
            </w:pPr>
            <w:r>
              <w:rPr>
                <w:rFonts w:ascii="Arial" w:hAnsi="Arial" w:eastAsia="Arial"/>
                <w:b/>
                <w:i w:val="0"/>
                <w:color w:val="17365D"/>
                <w:sz w:val="19"/>
              </w:rPr>
              <w:t>Strong words: deny · cut off · reject · flag · track · monitor · charge more · block · accuse</w:t>
            </w:r>
          </w:p>
          <w:p>
            <w:pPr>
              <w:spacing w:before="0" w:after="87" w:line="259" w:lineRule="auto"/>
            </w:pPr>
            <w:r>
              <w:rPr>
                <w:rFonts w:ascii="Arial" w:hAnsi="Arial" w:eastAsia="Arial"/>
                <w:b w:val="0"/>
                <w:i w:val="0"/>
                <w:color w:val="4E5D6C"/>
                <w:sz w:val="19"/>
              </w:rPr>
              <w:t>Be careful with language that hides the action: impact · affect · influence · raise concerns · create challenges</w:t>
            </w:r>
          </w:p>
          <w:p>
            <w:pPr>
              <w:spacing w:before="31" w:after="79" w:line="259" w:lineRule="auto"/>
            </w:pPr>
            <w:r>
              <w:rPr>
                <w:rFonts w:ascii="Arial" w:hAnsi="Arial" w:eastAsia="Arial"/>
                <w:b/>
                <w:i w:val="0"/>
                <w:color w:val="008D9D"/>
                <w:sz w:val="22"/>
              </w:rPr>
              <w:t>4. You can be bolder than you think.</w:t>
            </w:r>
          </w:p>
          <w:p>
            <w:pPr>
              <w:spacing w:after="30"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79–80% — off switches</w:t>
            </w:r>
          </w:p>
          <w:p>
            <w:pPr>
              <w:spacing w:after="30"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79–80% — proof of safety before release</w:t>
            </w:r>
          </w:p>
          <w:p>
            <w:pPr>
              <w:spacing w:after="30"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77–81% — meaningful penalties</w:t>
            </w:r>
          </w:p>
          <w:p>
            <w:pPr>
              <w:spacing w:after="30"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70–80% — bans on some high-stakes uses</w:t>
            </w:r>
          </w:p>
          <w:p>
            <w:pPr>
              <w:spacing w:after="30"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74–75% — community boards with real or legal authority</w:t>
            </w:r>
          </w:p>
          <w:p>
            <w:pPr>
              <w:spacing w:before="0" w:after="87" w:line="259" w:lineRule="auto"/>
            </w:pPr>
            <w:r>
              <w:rPr>
                <w:rFonts w:ascii="Arial" w:hAnsi="Arial" w:eastAsia="Arial"/>
                <w:b/>
                <w:i w:val="0"/>
                <w:color w:val="17365D"/>
                <w:sz w:val="19"/>
              </w:rPr>
              <w:t>Do not assume strong protections are politically impossible.</w:t>
            </w:r>
          </w:p>
          <w:p>
            <w:pPr>
              <w:spacing w:before="31" w:after="79" w:line="259" w:lineRule="auto"/>
            </w:pPr>
            <w:r>
              <w:rPr>
                <w:rFonts w:ascii="Arial" w:hAnsi="Arial" w:eastAsia="Arial"/>
                <w:b/>
                <w:i w:val="0"/>
                <w:color w:val="008D9D"/>
                <w:sz w:val="22"/>
              </w:rPr>
              <w:t>5. Bias and discrimination matter — but don’t rely on the label alone.</w:t>
            </w:r>
          </w:p>
          <w:p>
            <w:pPr>
              <w:spacing w:before="0" w:after="44" w:line="259" w:lineRule="auto"/>
            </w:pPr>
            <w:r>
              <w:rPr>
                <w:rFonts w:ascii="Arial" w:hAnsi="Arial" w:eastAsia="Arial"/>
                <w:b w:val="0"/>
                <w:i w:val="0"/>
                <w:color w:val="4E5D6C"/>
                <w:sz w:val="19"/>
              </w:rPr>
              <w:t>“Bias and discrimination” performed less strongly as a stand-alone frame than specific harms. That does not mean people do not care about discrimination.</w:t>
            </w:r>
          </w:p>
          <w:p>
            <w:pPr>
              <w:spacing w:before="0" w:after="44" w:line="259" w:lineRule="auto"/>
            </w:pPr>
            <w:r>
              <w:rPr>
                <w:rFonts w:ascii="Arial" w:hAnsi="Arial" w:eastAsia="Arial"/>
                <w:b w:val="0"/>
                <w:i w:val="0"/>
                <w:color w:val="4E5D6C"/>
                <w:sz w:val="19"/>
              </w:rPr>
              <w:t>Start with what happened. Then, where the evidence supports it, show who is being harmed most.</w:t>
            </w:r>
          </w:p>
          <w:p>
            <w:pPr>
              <w:spacing w:before="0" w:after="131" w:line="259" w:lineRule="auto"/>
            </w:pPr>
            <w:r>
              <w:rPr>
                <w:rFonts w:ascii="Arial" w:hAnsi="Arial" w:eastAsia="Arial"/>
                <w:b/>
                <w:i w:val="0"/>
                <w:color w:val="17365D"/>
                <w:sz w:val="19"/>
              </w:rPr>
              <w:t>Concrete harm first. Pattern of inequality second.</w:t>
            </w:r>
          </w:p>
          <w:p>
            <w:pPr>
              <w:spacing w:before="31" w:after="79" w:line="259" w:lineRule="auto"/>
            </w:pPr>
            <w:r>
              <w:rPr>
                <w:rFonts w:ascii="Arial" w:hAnsi="Arial" w:eastAsia="Arial"/>
                <w:b/>
                <w:i w:val="0"/>
                <w:color w:val="17365D"/>
                <w:sz w:val="25"/>
              </w:rPr>
              <w:t>THE MESSAGE FORMULA</w:t>
            </w:r>
          </w:p>
          <w:tbl>
            <w:tblPr>
              <w:tblW w:type="auto" w:w="0"/>
              <w:jc w:val="left"/>
              <w:tblLook w:firstColumn="1" w:firstRow="1" w:lastColumn="0" w:lastRow="0" w:noHBand="0" w:noVBand="1" w:val="04A0"/>
              <w:tblBorders>
                <w:top w:val="nil"/>
                <w:left w:val="nil"/>
                <w:bottom w:val="nil"/>
                <w:right w:val="nil"/>
                <w:insideH w:val="nil"/>
                <w:insideV w:val="nil"/>
              </w:tblBorders>
            </w:tblPr>
            <w:tblGrid>
              <w:gridCol w:w="5263"/>
            </w:tblGrid>
            <w:tr>
              <w:tc>
                <w:tcPr>
                  <w:tcW w:type="dxa" w:w="5263"/>
                  <w:shd w:fill="EAF5F5"/>
                  <w:tcMar>
                    <w:top w:w="75" w:type="dxa"/>
                    <w:start w:w="90" w:type="dxa"/>
                    <w:bottom w:w="75" w:type="dxa"/>
                    <w:end w:w="90" w:type="dxa"/>
                  </w:tcMar>
                </w:tcPr>
                <w:p>
                  <w:pPr>
                    <w:spacing w:after="0" w:line="259" w:lineRule="auto"/>
                  </w:pPr>
                  <w:r>
                    <w:rPr>
                      <w:rFonts w:ascii="Arial" w:hAnsi="Arial" w:eastAsia="Arial"/>
                      <w:b/>
                      <w:i w:val="0"/>
                      <w:color w:val="17365D"/>
                      <w:sz w:val="20"/>
                    </w:rPr>
                    <w:t>PERSON + DECISION-MAKER + ACTION + CONSEQUENCE</w:t>
                  </w:r>
                </w:p>
              </w:tc>
            </w:tr>
          </w:tbl>
          <w:p>
            <w:pPr>
              <w:spacing w:line="259" w:lineRule="auto"/>
            </w:pPr>
          </w:p>
          <w:p>
            <w:pPr>
              <w:spacing w:before="0" w:after="52" w:line="259" w:lineRule="auto"/>
            </w:pPr>
            <w:r>
              <w:rPr>
                <w:rFonts w:ascii="Arial" w:hAnsi="Arial" w:eastAsia="Arial"/>
                <w:b w:val="0"/>
                <w:i/>
                <w:color w:val="4E5D6C"/>
                <w:sz w:val="19"/>
              </w:rPr>
              <w:t>A patient + their insurer + used AI to deny treatment + they lost access to care</w:t>
            </w:r>
          </w:p>
          <w:p>
            <w:pPr>
              <w:spacing w:before="0" w:after="0" w:line="259" w:lineRule="auto"/>
            </w:pPr>
            <w:r>
              <w:rPr>
                <w:rFonts w:ascii="Arial" w:hAnsi="Arial" w:eastAsia="Arial"/>
                <w:b w:val="0"/>
                <w:i w:val="0"/>
                <w:color w:val="4E5D6C"/>
                <w:sz w:val="19"/>
              </w:rPr>
              <w:t>Start with the person. Name who made the choice. Say what happened. Show what was lost.</w:t>
            </w:r>
          </w:p>
        </w:tc>
        <w:tc>
          <w:tcPr>
            <w:tcW w:type="dxa" w:w="5263"/>
            <w:tcMar>
              <w:top w:w="110" w:type="dxa"/>
              <w:start w:w="90" w:type="dxa"/>
              <w:bottom w:w="110" w:type="dxa"/>
              <w:end w:w="90" w:type="dxa"/>
            </w:tcMar>
            <w:vAlign w:val="top"/>
          </w:tcPr>
          <w:p>
            <w:pPr>
              <w:spacing w:after="0" w:line="259" w:lineRule="auto"/>
            </w:pPr>
          </w:p>
          <w:p>
            <w:pPr>
              <w:spacing w:before="0" w:after="79" w:line="259" w:lineRule="auto"/>
            </w:pPr>
            <w:r>
              <w:rPr>
                <w:rFonts w:ascii="Arial" w:hAnsi="Arial" w:eastAsia="Arial"/>
                <w:b/>
                <w:i w:val="0"/>
                <w:color w:val="17365D"/>
                <w:sz w:val="26"/>
              </w:rPr>
              <w:t>THE GAP</w:t>
            </w:r>
          </w:p>
          <w:p>
            <w:pPr>
              <w:spacing w:before="0" w:after="65" w:line="259" w:lineRule="auto"/>
            </w:pPr>
            <w:r>
              <w:rPr>
                <w:rFonts w:ascii="Arial" w:hAnsi="Arial" w:eastAsia="Arial"/>
                <w:b/>
                <w:i w:val="0"/>
                <w:color w:val="17365D"/>
                <w:sz w:val="20"/>
              </w:rPr>
              <w:t>What people mention first about AI is not always what worries them most.</w:t>
            </w:r>
          </w:p>
          <w:p>
            <w:pPr>
              <w:spacing w:after="56" w:line="259" w:lineRule="auto"/>
            </w:pPr>
            <w:r>
              <w:rPr>
                <w:rFonts w:ascii="Arial" w:hAnsi="Arial" w:eastAsia="Arial"/>
                <w:b/>
                <w:i w:val="0"/>
                <w:color w:val="17365D"/>
                <w:sz w:val="19"/>
              </w:rPr>
              <w:t xml:space="preserve">Without examples: </w:t>
            </w:r>
            <w:r>
              <w:rPr>
                <w:rFonts w:ascii="Arial" w:hAnsi="Arial" w:eastAsia="Arial"/>
                <w:b w:val="0"/>
                <w:i w:val="0"/>
                <w:color w:val="4E5D6C"/>
                <w:sz w:val="19"/>
              </w:rPr>
              <w:t>privacy · surveillance · job loss · misinformation</w:t>
            </w:r>
          </w:p>
          <w:p>
            <w:pPr>
              <w:spacing w:after="87" w:line="259" w:lineRule="auto"/>
            </w:pPr>
            <w:r>
              <w:rPr>
                <w:rFonts w:ascii="Arial" w:hAnsi="Arial" w:eastAsia="Arial"/>
                <w:b/>
                <w:i w:val="0"/>
                <w:color w:val="17365D"/>
                <w:sz w:val="19"/>
              </w:rPr>
              <w:t xml:space="preserve">With concrete examples: </w:t>
            </w:r>
            <w:r>
              <w:rPr>
                <w:rFonts w:ascii="Arial" w:hAnsi="Arial" w:eastAsia="Arial"/>
                <w:b w:val="0"/>
                <w:i w:val="0"/>
                <w:color w:val="4E5D6C"/>
                <w:sz w:val="19"/>
              </w:rPr>
              <w:t>health care · benefits · housing · work · pricing · access to a human being</w:t>
            </w:r>
          </w:p>
          <w:p>
            <w:pPr>
              <w:spacing w:before="31" w:after="79" w:line="259" w:lineRule="auto"/>
            </w:pPr>
            <w:r>
              <w:rPr>
                <w:rFonts w:ascii="Arial" w:hAnsi="Arial" w:eastAsia="Arial"/>
                <w:b/>
                <w:i w:val="0"/>
                <w:color w:val="008D9D"/>
                <w:sz w:val="22"/>
              </w:rPr>
              <w:t>Movement opportunity</w:t>
            </w:r>
          </w:p>
          <w:p>
            <w:pPr>
              <w:spacing w:before="0" w:after="52" w:line="259" w:lineRule="auto"/>
            </w:pPr>
            <w:r>
              <w:rPr>
                <w:rFonts w:ascii="Arial" w:hAnsi="Arial" w:eastAsia="Arial"/>
                <w:b/>
                <w:i w:val="0"/>
                <w:color w:val="17365D"/>
                <w:sz w:val="19"/>
              </w:rPr>
              <w:t>Make hidden decision-making visible.</w:t>
            </w:r>
          </w:p>
          <w:p>
            <w:pPr>
              <w:spacing w:after="35"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Where is the system?</w:t>
            </w:r>
          </w:p>
          <w:p>
            <w:pPr>
              <w:spacing w:after="35"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Who chose to use it?</w:t>
            </w:r>
          </w:p>
          <w:p>
            <w:pPr>
              <w:spacing w:after="35"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What is it deciding?</w:t>
            </w:r>
          </w:p>
          <w:p>
            <w:pPr>
              <w:spacing w:after="35"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What can someone lose?</w:t>
            </w:r>
          </w:p>
          <w:p>
            <w:pPr>
              <w:spacing w:after="35" w:line="259" w:lineRule="auto"/>
              <w:ind w:left="173" w:hanging="144"/>
            </w:pPr>
            <w:r>
              <w:rPr>
                <w:rFonts w:ascii="Arial" w:hAnsi="Arial" w:eastAsia="Arial"/>
                <w:b/>
                <w:i w:val="0"/>
                <w:color w:val="008D9D"/>
                <w:sz w:val="19"/>
              </w:rPr>
              <w:t xml:space="preserve">• </w:t>
            </w:r>
            <w:r>
              <w:rPr>
                <w:rFonts w:ascii="Arial" w:hAnsi="Arial" w:eastAsia="Arial"/>
                <w:b w:val="0"/>
                <w:i w:val="0"/>
                <w:color w:val="4E5D6C"/>
                <w:sz w:val="19"/>
              </w:rPr>
              <w:t>Can they challenge the decision?</w:t>
            </w:r>
          </w:p>
          <w:p>
            <w:pPr>
              <w:spacing w:before="124" w:after="79" w:line="259" w:lineRule="auto"/>
            </w:pPr>
            <w:r>
              <w:rPr>
                <w:rFonts w:ascii="Arial" w:hAnsi="Arial" w:eastAsia="Arial"/>
                <w:b/>
                <w:i w:val="0"/>
                <w:color w:val="17365D"/>
                <w:sz w:val="25"/>
              </w:rPr>
              <w:t>PREVENT. PROTECT. REPAIR.</w:t>
            </w:r>
          </w:p>
          <w:p>
            <w:pPr>
              <w:spacing w:before="0" w:after="65" w:line="259" w:lineRule="auto"/>
            </w:pPr>
            <w:r>
              <w:rPr>
                <w:rFonts w:ascii="Arial" w:hAnsi="Arial" w:eastAsia="Arial"/>
                <w:b w:val="0"/>
                <w:i w:val="0"/>
                <w:color w:val="4E5D6C"/>
                <w:sz w:val="19"/>
              </w:rPr>
              <w:t>People strongly preferred Prevent, Protect, Repair as a way of describing what should happen around AI harm.</w:t>
            </w:r>
          </w:p>
          <w:p>
            <w:pPr>
              <w:spacing w:after="52" w:line="259" w:lineRule="auto"/>
            </w:pPr>
            <w:r>
              <w:rPr>
                <w:rFonts w:ascii="Arial" w:hAnsi="Arial" w:eastAsia="Arial"/>
                <w:b/>
                <w:i w:val="0"/>
                <w:color w:val="17365D"/>
                <w:sz w:val="19"/>
              </w:rPr>
              <w:t xml:space="preserve">PREVENT — </w:t>
            </w:r>
            <w:r>
              <w:rPr>
                <w:rFonts w:ascii="Arial" w:hAnsi="Arial" w:eastAsia="Arial"/>
                <w:b w:val="0"/>
                <w:i w:val="0"/>
                <w:color w:val="4E5D6C"/>
                <w:sz w:val="19"/>
              </w:rPr>
              <w:t>Stop preventable harm before it happens.</w:t>
            </w:r>
          </w:p>
          <w:p>
            <w:pPr>
              <w:spacing w:after="52" w:line="259" w:lineRule="auto"/>
            </w:pPr>
            <w:r>
              <w:rPr>
                <w:rFonts w:ascii="Arial" w:hAnsi="Arial" w:eastAsia="Arial"/>
                <w:b/>
                <w:i w:val="0"/>
                <w:color w:val="17365D"/>
                <w:sz w:val="19"/>
              </w:rPr>
              <w:t xml:space="preserve">PROTECT — </w:t>
            </w:r>
            <w:r>
              <w:rPr>
                <w:rFonts w:ascii="Arial" w:hAnsi="Arial" w:eastAsia="Arial"/>
                <w:b w:val="0"/>
                <w:i w:val="0"/>
                <w:color w:val="4E5D6C"/>
                <w:sz w:val="19"/>
              </w:rPr>
              <w:t>Give people real safeguards while systems are being used.</w:t>
            </w:r>
          </w:p>
          <w:p>
            <w:pPr>
              <w:spacing w:after="131" w:line="259" w:lineRule="auto"/>
            </w:pPr>
            <w:r>
              <w:rPr>
                <w:rFonts w:ascii="Arial" w:hAnsi="Arial" w:eastAsia="Arial"/>
                <w:b/>
                <w:i w:val="0"/>
                <w:color w:val="17365D"/>
                <w:sz w:val="19"/>
              </w:rPr>
              <w:t xml:space="preserve">REPAIR — </w:t>
            </w:r>
            <w:r>
              <w:rPr>
                <w:rFonts w:ascii="Arial" w:hAnsi="Arial" w:eastAsia="Arial"/>
                <w:b w:val="0"/>
                <w:i w:val="0"/>
                <w:color w:val="4E5D6C"/>
                <w:sz w:val="19"/>
              </w:rPr>
              <w:t>Put the harm right when prevention fails.</w:t>
            </w:r>
          </w:p>
          <w:p>
            <w:pPr>
              <w:spacing w:before="62" w:after="79" w:line="259" w:lineRule="auto"/>
            </w:pPr>
            <w:r>
              <w:rPr>
                <w:rFonts w:ascii="Arial" w:hAnsi="Arial" w:eastAsia="Arial"/>
                <w:b/>
                <w:i w:val="0"/>
                <w:color w:val="17365D"/>
                <w:sz w:val="25"/>
              </w:rPr>
              <w:t>ONE SENTENCE TO REMEMBER</w:t>
            </w:r>
          </w:p>
          <w:p>
            <w:pPr>
              <w:spacing w:before="0" w:after="61" w:line="259" w:lineRule="auto"/>
            </w:pPr>
            <w:r>
              <w:rPr>
                <w:rFonts w:ascii="Arial" w:hAnsi="Arial" w:eastAsia="Arial"/>
                <w:b/>
                <w:i w:val="0"/>
                <w:color w:val="4E5D6C"/>
                <w:sz w:val="20"/>
              </w:rPr>
              <w:t>Don’t lead with “AI is dangerous.”</w:t>
            </w:r>
          </w:p>
          <w:tbl>
            <w:tblPr>
              <w:tblW w:type="auto" w:w="0"/>
              <w:jc w:val="left"/>
              <w:tblLook w:firstColumn="1" w:firstRow="1" w:lastColumn="0" w:lastRow="0" w:noHBand="0" w:noVBand="1" w:val="04A0"/>
              <w:tblBorders>
                <w:top w:val="nil"/>
                <w:left w:val="nil"/>
                <w:bottom w:val="nil"/>
                <w:right w:val="nil"/>
                <w:insideH w:val="nil"/>
                <w:insideV w:val="nil"/>
              </w:tblBorders>
            </w:tblPr>
            <w:tblGrid>
              <w:gridCol w:w="5263"/>
            </w:tblGrid>
            <w:tr>
              <w:tc>
                <w:tcPr>
                  <w:tcW w:type="dxa" w:w="5263"/>
                  <w:shd w:fill="EAF5F5"/>
                  <w:tcMar>
                    <w:top w:w="75" w:type="dxa"/>
                    <w:start w:w="90" w:type="dxa"/>
                    <w:bottom w:w="75" w:type="dxa"/>
                    <w:end w:w="90" w:type="dxa"/>
                  </w:tcMar>
                </w:tcPr>
                <w:p>
                  <w:pPr>
                    <w:spacing w:after="0" w:line="259" w:lineRule="auto"/>
                  </w:pPr>
                  <w:r>
                    <w:rPr>
                      <w:rFonts w:ascii="Arial" w:hAnsi="Arial" w:eastAsia="Arial"/>
                      <w:b/>
                      <w:i w:val="0"/>
                      <w:color w:val="17365D"/>
                      <w:sz w:val="20"/>
                    </w:rPr>
                    <w:t>Here is who used it. Here is what it did to a person. Here is what was taken away. And here is what should have stopped it.</w:t>
                  </w:r>
                </w:p>
              </w:tc>
            </w:tr>
          </w:tbl>
          <w:p>
            <w:pPr>
              <w:spacing w:line="259" w:lineRule="auto"/>
            </w:pPr>
          </w:p>
        </w:tc>
      </w:tr>
    </w:tbl>
    <w:p>
      <w:pPr>
        <w:spacing w:before="200" w:after="0" w:line="259" w:lineRule="auto"/>
        <w:jc w:val="center"/>
      </w:pPr>
      <w:r>
        <w:rPr>
          <w:rFonts w:ascii="Arial" w:hAnsi="Arial" w:eastAsia="Arial"/>
          <w:b w:val="0"/>
          <w:i w:val="0"/>
          <w:color w:val="4E5D6C"/>
          <w:sz w:val="17"/>
        </w:rPr>
        <w:t>TechTonic Justice + DFP · Message Testing · Movement Organisations Cheat Sheet · Working Copy</w:t>
      </w:r>
    </w:p>
    <w:sectPr w:rsidR="00FC693F" w:rsidRPr="0006063C" w:rsidSect="00034616">
      <w:pgSz w:w="11909" w:h="16834"/>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6" w:line="240" w:lineRule="auto"/>
    </w:pPr>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